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40"/>
          <w:szCs w:val="40"/>
          <w:lang w:val="en-US" w:eastAsia="zh-CN"/>
        </w:rPr>
        <w:t>喀什</w:t>
      </w:r>
      <w:r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  <w:t>地区</w:t>
      </w:r>
      <w:r>
        <w:rPr>
          <w:rFonts w:hint="default" w:ascii="Times New Roman" w:hAnsi="Times New Roman" w:eastAsia="方正小标宋_GBK" w:cs="Times New Roman"/>
          <w:sz w:val="40"/>
          <w:szCs w:val="40"/>
        </w:rPr>
        <w:t>发展改革委</w:t>
      </w:r>
      <w:r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  <w:t xml:space="preserve"> </w:t>
      </w:r>
      <w:r>
        <w:rPr>
          <w:rFonts w:hint="default" w:ascii="Times New Roman" w:hAnsi="Times New Roman" w:eastAsia="方正小标宋_GBK" w:cs="Times New Roman"/>
          <w:sz w:val="40"/>
          <w:szCs w:val="40"/>
        </w:rPr>
        <w:t>财政</w:t>
      </w:r>
      <w:r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  <w:t xml:space="preserve">局 </w:t>
      </w:r>
      <w:r>
        <w:rPr>
          <w:rFonts w:hint="default" w:ascii="Times New Roman" w:hAnsi="Times New Roman" w:eastAsia="方正小标宋_GBK" w:cs="Times New Roman"/>
          <w:sz w:val="40"/>
          <w:szCs w:val="40"/>
        </w:rPr>
        <w:t>民政</w:t>
      </w:r>
      <w:r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  <w:t xml:space="preserve">局 </w:t>
      </w:r>
      <w:r>
        <w:rPr>
          <w:rFonts w:hint="default" w:ascii="Times New Roman" w:hAnsi="Times New Roman" w:eastAsia="方正小标宋_GBK" w:cs="Times New Roman"/>
          <w:sz w:val="40"/>
          <w:szCs w:val="40"/>
        </w:rPr>
        <w:t>市场监督管理局</w:t>
      </w:r>
      <w:bookmarkStart w:id="0" w:name="OLE_LINK3"/>
      <w:r>
        <w:rPr>
          <w:rFonts w:hint="default" w:ascii="Times New Roman" w:hAnsi="Times New Roman" w:eastAsia="方正小标宋_GBK" w:cs="Times New Roman"/>
          <w:sz w:val="40"/>
          <w:szCs w:val="40"/>
        </w:rPr>
        <w:t>关于制定喀什地区</w:t>
      </w:r>
      <w:r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  <w:t>殡仪延伸服务和公益性</w:t>
      </w:r>
    </w:p>
    <w:p>
      <w:pPr>
        <w:jc w:val="center"/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  <w:t>公墓服务收费标准的通知</w:t>
      </w:r>
      <w:bookmarkEnd w:id="0"/>
    </w:p>
    <w:p>
      <w:pPr>
        <w:jc w:val="center"/>
        <w:rPr>
          <w:rFonts w:hint="default" w:ascii="Times New Roman" w:hAnsi="Times New Roman" w:eastAsia="方正小标宋_GBK" w:cs="Times New Roman"/>
          <w:sz w:val="40"/>
          <w:szCs w:val="40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（征求意见稿）</w:t>
      </w:r>
    </w:p>
    <w:p>
      <w:pPr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县市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发展改革委、财政局、民政局、市场监督管理局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：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</w:t>
      </w:r>
      <w:bookmarkStart w:id="1" w:name="OLE_LINK2"/>
      <w:r>
        <w:rPr>
          <w:rFonts w:hint="default" w:ascii="Times New Roman" w:hAnsi="Times New Roman" w:eastAsia="方正仿宋_GBK" w:cs="Times New Roman"/>
          <w:sz w:val="32"/>
          <w:szCs w:val="32"/>
        </w:rPr>
        <w:t>《中华人民共和国价格法》</w:t>
      </w:r>
      <w:bookmarkEnd w:id="1"/>
      <w:r>
        <w:rPr>
          <w:rFonts w:hint="default" w:ascii="Times New Roman" w:hAnsi="Times New Roman" w:eastAsia="方正仿宋_GBK" w:cs="Times New Roman"/>
          <w:sz w:val="32"/>
          <w:szCs w:val="32"/>
        </w:rPr>
        <w:t>《政府制定价格行为规则》(2017年第7号令）、《国家发展改革委 民政部关于进一步加强殡葬服务收费管理有关问题的指导意见》（发改价格〔2012〕673号）、《自治区发展改革委等部门关于印发＜新疆维吾尔自治区殡葬服务收费管理办法＞的通知》（新发改规〔2024〕9号）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、《自治区发展改革委财政厅 民政厅 市场监督管理局关于加强我区殡葬服务收费管理工作的通知》（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新发改收费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〔202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363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等规定，经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研究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，现就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喀什地区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殡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仪延伸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服务收费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和公墓服务收费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工作通知如下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：</w:t>
      </w:r>
    </w:p>
    <w:p>
      <w:pPr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殡仪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延伸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服务收费标准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殡仪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延伸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服务包括遗体防腐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遗体整容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含洁身、更衣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吊唁设施及设备租赁等3项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延伸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服务，延伸服务收费实行政府指导价</w:t>
      </w:r>
      <w:bookmarkStart w:id="2" w:name="OLE_LINK1"/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下浮不限。喀什地区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殡仪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延伸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服务收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具体标准见附件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bookmarkEnd w:id="2"/>
    <w:p>
      <w:pPr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二、公益性公墓价格及公墓维护管理费收费标准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公益性公墓价格及公墓维护管理费实行政府指导价，下浮不限，海拔3000米以上县公益性公墓价格可不超过30％上浮。经营性公墓价格及公墓维护管理费实行市场调节价。喀什地区公益性公墓价格及公墓维护管理费收费具体标准见附件2。</w:t>
      </w:r>
    </w:p>
    <w:p>
      <w:pPr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三、加强殡葬其他服务收费行为监管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（一）经营者要</w:t>
      </w:r>
      <w:r>
        <w:rPr>
          <w:rFonts w:hint="eastAsia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做好明码标价</w:t>
      </w:r>
      <w:r>
        <w:rPr>
          <w:rFonts w:hint="default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殡葬服务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经营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单位要严格执行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明码标价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规定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在服务场所显著位置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公示服务项目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服务规范、收费标准、收费依据和价格投诉举报电话等，自觉接受群众、行政部门和社会监督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（二）加强殡葬行业监管</w:t>
      </w:r>
      <w:r>
        <w:rPr>
          <w:rFonts w:hint="eastAsia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地县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民政部门要健全殡葬管理体制机制，严格规范服务标准，推动构建跨部门综合监管机制，加强殡葬行业监管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对市场调节价的殡葬服务实行清单化管理，建立服务清单目录，严格控制服务数量，明确服务内容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督促指导殡葬服务机构规范和公开殡葬服务流程、收费项目和标准，落实价格承诺和公示制度，实行清单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外无收费项目，遏制殡葬服务市场乱收费现象。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（三）加大价格违法惩处力度。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地县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市场监督管理部门要根据《价格法》《价格违法行政处罚规定》《明码标价和禁止价格欺诈规定》等法律法规，依法查处涉及殡葬行业价格、不正当竞争等违法行为。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（四）加大</w:t>
      </w:r>
      <w:r>
        <w:rPr>
          <w:rFonts w:hint="default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宣传</w:t>
      </w:r>
      <w:r>
        <w:rPr>
          <w:rFonts w:hint="eastAsia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力度</w:t>
      </w:r>
      <w:r>
        <w:rPr>
          <w:rFonts w:hint="default" w:ascii="Times New Roman" w:hAnsi="Times New Roman" w:eastAsia="方正楷体_GBK" w:cs="Times New Roman"/>
          <w:b w:val="0"/>
          <w:bCs w:val="0"/>
          <w:color w:val="000000"/>
          <w:spacing w:val="0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地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县民政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、发展改革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市监、财政等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部门应加强组织领导，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加大殡葬服务收费政策宣传力度，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引导相关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殡葬服务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经营者依法合规经营，加强舆论引导，及时回应社会关切，确保价格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政策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顺利实施。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本通知自2025年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日起执行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有限期5年，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由地区发展改革委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财政局、民政局、市场监督管理局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负责解释。如遇国家、自治区政策调整，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从其规定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附件：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1.喀什地区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殡仪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延伸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服务收费标准表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2.喀什地区公益性公墓服务收费标准表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喀什地区发展和改革委员会         喀什地区财政局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喀什地区民政局          喀什地区市场监督管理局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wordWrap w:val="0"/>
        <w:ind w:firstLine="640" w:firstLineChars="200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2025年  月  日     </w:t>
      </w:r>
    </w:p>
    <w:p>
      <w:pPr>
        <w:pStyle w:val="2"/>
        <w:wordWrap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0648E"/>
    <w:rsid w:val="38E45212"/>
    <w:rsid w:val="46E0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 w:val="0"/>
      <w:spacing w:line="0" w:lineRule="atLeast"/>
      <w:ind w:firstLine="21" w:firstLineChars="200"/>
      <w:jc w:val="center"/>
      <w:outlineLvl w:val="1"/>
    </w:pPr>
    <w:rPr>
      <w:rFonts w:ascii="Times New Roman" w:hAnsi="Times New Roman" w:eastAsia="宋体" w:cs="Times New Roman"/>
      <w:kern w:val="0"/>
      <w:sz w:val="28"/>
      <w:szCs w:val="20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2025-09-28T11:03:00Z</dcterms:created>
  <dc:creator>39600</dc:creator>
  <cp:lastModifiedBy>lenovo</cp:lastModifiedBy>
  <dcterms:modified xsi:type="dcterms:W3CDTF">2025-09-28T11:31:03Z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